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rPr>
          <w:rFonts w:ascii="Arial" w:hAnsi="Arial" w:cs="Arial"/>
          <w:b/>
          <w:bCs/>
          <w:lang w:val="en-GB"/>
        </w:rPr>
      </w:pPr>
    </w:p>
    <w:p>
      <w:pPr>
        <w:jc w:val="center"/>
        <w:rPr>
          <w:rFonts w:ascii="Arial" w:hAnsi="Arial" w:cs="Arial"/>
          <w:b/>
          <w:bCs/>
          <w:lang w:val="en-GB"/>
        </w:rPr>
      </w:pPr>
    </w:p>
    <w:p>
      <w:pPr>
        <w:jc w:val="center"/>
        <w:rPr>
          <w:rFonts w:ascii="Arial" w:hAnsi="Arial" w:cs="Arial"/>
          <w:b/>
          <w:bCs/>
          <w:lang w:val="en-GB"/>
        </w:rPr>
      </w:pPr>
      <w:r>
        <w:rPr>
          <w:rFonts w:ascii="Arial" w:hAnsi="Arial" w:cs="Arial"/>
          <w:b/>
          <w:bCs/>
          <w:lang w:val="en-GB"/>
        </w:rPr>
        <w:t>NOTE TO ECC (through the ECC PT1 Chairman Report)</w:t>
      </w:r>
    </w:p>
    <w:p>
      <w:pPr>
        <w:jc w:val="center"/>
        <w:rPr>
          <w:rFonts w:ascii="Arial" w:hAnsi="Arial" w:cs="Arial"/>
          <w:b/>
          <w:bCs/>
          <w:lang w:val="en-GB"/>
        </w:rPr>
      </w:pPr>
    </w:p>
    <w:p>
      <w:pPr>
        <w:jc w:val="center"/>
        <w:rPr>
          <w:rFonts w:ascii="Arial" w:hAnsi="Arial" w:cs="Arial"/>
          <w:b/>
          <w:bCs/>
          <w:lang w:val="en-GB"/>
        </w:rPr>
      </w:pPr>
      <w:r>
        <w:rPr>
          <w:rFonts w:ascii="Arial" w:hAnsi="Arial" w:cs="Arial"/>
          <w:b/>
          <w:bCs/>
          <w:lang w:val="en-GB"/>
        </w:rPr>
        <w:t>Revision of ECC Decision (06)13</w:t>
      </w:r>
    </w:p>
    <w:p>
      <w:pPr>
        <w:jc w:val="center"/>
        <w:rPr>
          <w:rFonts w:ascii="Arial" w:hAnsi="Arial" w:cs="Arial"/>
          <w:b/>
          <w:bCs/>
          <w:lang w:val="en-GB"/>
        </w:rPr>
      </w:pPr>
    </w:p>
    <w:p>
      <w:pPr>
        <w:jc w:val="center"/>
        <w:rPr>
          <w:rFonts w:ascii="Arial" w:hAnsi="Arial" w:cs="Arial"/>
          <w:b/>
          <w:bCs/>
          <w:lang w:val="en-GB"/>
        </w:rPr>
      </w:pPr>
    </w:p>
    <w:p>
      <w:pPr>
        <w:jc w:val="center"/>
        <w:rPr>
          <w:rFonts w:ascii="Arial" w:hAnsi="Arial" w:cs="Arial"/>
          <w:b/>
          <w:bCs/>
          <w:lang w:val="en-GB"/>
        </w:rPr>
      </w:pPr>
    </w:p>
    <w:p>
      <w:pPr>
        <w:spacing w:before="120"/>
        <w:jc w:val="both"/>
        <w:rPr>
          <w:rFonts w:ascii="Arial" w:hAnsi="Arial" w:cs="Arial"/>
          <w:sz w:val="22"/>
          <w:szCs w:val="22"/>
          <w:lang w:val="en-GB"/>
        </w:rPr>
      </w:pPr>
      <w:bookmarkStart w:id="0" w:name="_GoBack"/>
      <w:r>
        <w:rPr>
          <w:rFonts w:ascii="Arial" w:hAnsi="Arial" w:cs="Arial"/>
          <w:sz w:val="22"/>
          <w:szCs w:val="22"/>
          <w:lang w:val="en-GB"/>
        </w:rPr>
        <w:t xml:space="preserve">At the 32nd ECC meeting, ECC PT1 informed the ECC (see document ECC(12)036) about the ongoing work in ECC PT1 to revise ECC Decision (06)13 in order to align with the current framework (in particular in the European Union, i.e. </w:t>
      </w:r>
      <w:r>
        <w:rPr>
          <w:rFonts w:ascii="Arial" w:hAnsi="Arial" w:cs="Arial"/>
          <w:sz w:val="22"/>
          <w:szCs w:val="22"/>
          <w:lang w:val="en-US"/>
        </w:rPr>
        <w:t>Commission Decision of 18 April 2011 (2011/251/EU) and Directive of the European Parliament and of the Council of 16 September 2009 (2009/114/EC)</w:t>
      </w:r>
      <w:r>
        <w:rPr>
          <w:rFonts w:ascii="Arial" w:hAnsi="Arial" w:cs="Arial"/>
          <w:sz w:val="22"/>
          <w:szCs w:val="22"/>
          <w:lang w:val="en-GB"/>
        </w:rPr>
        <w:t>).</w:t>
      </w:r>
    </w:p>
    <w:p>
      <w:pPr>
        <w:spacing w:before="120"/>
        <w:jc w:val="both"/>
        <w:rPr>
          <w:rFonts w:ascii="Arial" w:hAnsi="Arial" w:cs="Arial"/>
          <w:sz w:val="22"/>
          <w:szCs w:val="22"/>
          <w:lang w:val="en-GB"/>
        </w:rPr>
      </w:pPr>
      <w:r>
        <w:rPr>
          <w:rFonts w:ascii="Arial" w:hAnsi="Arial" w:cs="Arial"/>
          <w:sz w:val="22"/>
          <w:szCs w:val="22"/>
          <w:lang w:val="en-GB"/>
        </w:rPr>
        <w:t>This work item was endorsed by the ECC (see section 9.6 of the minutes of the ECC meeting – document ECC(12)052) as proposed by ECC PT1.</w:t>
      </w:r>
    </w:p>
    <w:p>
      <w:pPr>
        <w:spacing w:before="120"/>
        <w:jc w:val="both"/>
        <w:rPr>
          <w:rFonts w:ascii="Arial" w:hAnsi="Arial" w:cs="Arial"/>
          <w:sz w:val="22"/>
          <w:szCs w:val="22"/>
          <w:lang w:val="en-GB"/>
        </w:rPr>
      </w:pPr>
      <w:r>
        <w:rPr>
          <w:rFonts w:ascii="Arial" w:hAnsi="Arial" w:cs="Arial"/>
          <w:sz w:val="22"/>
          <w:szCs w:val="22"/>
          <w:lang w:val="en-GB"/>
        </w:rPr>
        <w:t>ECC PT1 has now completed the revision (see Annex x of document ECC(13)xxx) and proposes the revised version to the ECC for public consultation.</w:t>
      </w:r>
    </w:p>
    <w:bookmarkEnd w:id="0"/>
    <w:p>
      <w:pPr>
        <w:rPr>
          <w:rFonts w:ascii="Arial" w:hAnsi="Arial" w:cs="Arial"/>
          <w:b/>
          <w:bCs/>
          <w:sz w:val="22"/>
          <w:szCs w:val="22"/>
          <w:lang w:val="en-GB"/>
        </w:rPr>
      </w:pPr>
    </w:p>
    <w:sectPr>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
        <w:separator/>
      </w:r>
    </w:p>
  </w:endnote>
  <w:endnote w:type="continuationSeparator" w:id="0">
    <w:p>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
        <w:separator/>
      </w:r>
    </w:p>
  </w:footnote>
  <w:footnote w:type="continuationSeparator" w:id="0">
    <w:p>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3CBC"/>
    <w:multiLevelType w:val="hybridMultilevel"/>
    <w:tmpl w:val="309ACF6A"/>
    <w:lvl w:ilvl="0" w:tplc="6C3A5144">
      <w:start w:val="1"/>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D657FFC"/>
    <w:multiLevelType w:val="hybridMultilevel"/>
    <w:tmpl w:val="853CF2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5D24346"/>
    <w:multiLevelType w:val="hybridMultilevel"/>
    <w:tmpl w:val="20245D9E"/>
    <w:lvl w:ilvl="0" w:tplc="2DE05ACA">
      <w:start w:val="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8010251"/>
    <w:multiLevelType w:val="hybridMultilevel"/>
    <w:tmpl w:val="4000B522"/>
    <w:lvl w:ilvl="0" w:tplc="33AA5E2C">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nsid w:val="1A3B746D"/>
    <w:multiLevelType w:val="hybridMultilevel"/>
    <w:tmpl w:val="8B3031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AD87D4D"/>
    <w:multiLevelType w:val="hybridMultilevel"/>
    <w:tmpl w:val="989415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B721D55"/>
    <w:multiLevelType w:val="hybridMultilevel"/>
    <w:tmpl w:val="10A2840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F64683E"/>
    <w:multiLevelType w:val="hybridMultilevel"/>
    <w:tmpl w:val="9FBA1330"/>
    <w:lvl w:ilvl="0" w:tplc="6C3A5144">
      <w:start w:val="1"/>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2DF00D73"/>
    <w:multiLevelType w:val="hybridMultilevel"/>
    <w:tmpl w:val="62BADC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4DD397B"/>
    <w:multiLevelType w:val="hybridMultilevel"/>
    <w:tmpl w:val="8DB85AD6"/>
    <w:lvl w:ilvl="0" w:tplc="7FC8BE9A">
      <w:numFmt w:val="bullet"/>
      <w:lvlText w:val="-"/>
      <w:lvlJc w:val="left"/>
      <w:pPr>
        <w:ind w:left="720" w:hanging="360"/>
      </w:pPr>
      <w:rPr>
        <w:rFonts w:ascii="Calibri" w:eastAsiaTheme="minorHAnsi" w:hAnsi="Calibri" w:cs="Calibri"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nsid w:val="37A026A0"/>
    <w:multiLevelType w:val="hybridMultilevel"/>
    <w:tmpl w:val="1F2C598E"/>
    <w:lvl w:ilvl="0" w:tplc="6C3A5144">
      <w:start w:val="1"/>
      <w:numFmt w:val="bullet"/>
      <w:lvlText w:val="-"/>
      <w:lvlJc w:val="left"/>
      <w:pPr>
        <w:tabs>
          <w:tab w:val="num" w:pos="927"/>
        </w:tabs>
        <w:ind w:left="927" w:hanging="360"/>
      </w:pPr>
      <w:rPr>
        <w:rFonts w:ascii="Arial" w:eastAsia="TimesNew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nsid w:val="3A366E36"/>
    <w:multiLevelType w:val="hybridMultilevel"/>
    <w:tmpl w:val="BC162E14"/>
    <w:lvl w:ilvl="0" w:tplc="6C3A5144">
      <w:start w:val="1"/>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4E030115"/>
    <w:multiLevelType w:val="hybridMultilevel"/>
    <w:tmpl w:val="5936FC3C"/>
    <w:lvl w:ilvl="0" w:tplc="6C3A5144">
      <w:start w:val="1"/>
      <w:numFmt w:val="bullet"/>
      <w:lvlText w:val="-"/>
      <w:lvlJc w:val="left"/>
      <w:pPr>
        <w:tabs>
          <w:tab w:val="num" w:pos="1068"/>
        </w:tabs>
        <w:ind w:left="1068" w:hanging="360"/>
      </w:pPr>
      <w:rPr>
        <w:rFonts w:ascii="Arial" w:eastAsia="Times New Roman" w:hAnsi="Arial" w:cs="Arial" w:hint="default"/>
      </w:rPr>
    </w:lvl>
    <w:lvl w:ilvl="1" w:tplc="040C0003" w:tentative="1">
      <w:start w:val="1"/>
      <w:numFmt w:val="bullet"/>
      <w:lvlText w:val="o"/>
      <w:lvlJc w:val="left"/>
      <w:pPr>
        <w:tabs>
          <w:tab w:val="num" w:pos="1581"/>
        </w:tabs>
        <w:ind w:left="1581" w:hanging="360"/>
      </w:pPr>
      <w:rPr>
        <w:rFonts w:ascii="Courier New" w:hAnsi="Courier New" w:cs="Courier New" w:hint="default"/>
      </w:rPr>
    </w:lvl>
    <w:lvl w:ilvl="2" w:tplc="040C0005" w:tentative="1">
      <w:start w:val="1"/>
      <w:numFmt w:val="bullet"/>
      <w:lvlText w:val=""/>
      <w:lvlJc w:val="left"/>
      <w:pPr>
        <w:tabs>
          <w:tab w:val="num" w:pos="2301"/>
        </w:tabs>
        <w:ind w:left="2301" w:hanging="360"/>
      </w:pPr>
      <w:rPr>
        <w:rFonts w:ascii="Wingdings" w:hAnsi="Wingdings" w:hint="default"/>
      </w:rPr>
    </w:lvl>
    <w:lvl w:ilvl="3" w:tplc="040C0001" w:tentative="1">
      <w:start w:val="1"/>
      <w:numFmt w:val="bullet"/>
      <w:lvlText w:val=""/>
      <w:lvlJc w:val="left"/>
      <w:pPr>
        <w:tabs>
          <w:tab w:val="num" w:pos="3021"/>
        </w:tabs>
        <w:ind w:left="3021" w:hanging="360"/>
      </w:pPr>
      <w:rPr>
        <w:rFonts w:ascii="Symbol" w:hAnsi="Symbol" w:hint="default"/>
      </w:rPr>
    </w:lvl>
    <w:lvl w:ilvl="4" w:tplc="040C0003" w:tentative="1">
      <w:start w:val="1"/>
      <w:numFmt w:val="bullet"/>
      <w:lvlText w:val="o"/>
      <w:lvlJc w:val="left"/>
      <w:pPr>
        <w:tabs>
          <w:tab w:val="num" w:pos="3741"/>
        </w:tabs>
        <w:ind w:left="3741" w:hanging="360"/>
      </w:pPr>
      <w:rPr>
        <w:rFonts w:ascii="Courier New" w:hAnsi="Courier New" w:cs="Courier New" w:hint="default"/>
      </w:rPr>
    </w:lvl>
    <w:lvl w:ilvl="5" w:tplc="040C0005" w:tentative="1">
      <w:start w:val="1"/>
      <w:numFmt w:val="bullet"/>
      <w:lvlText w:val=""/>
      <w:lvlJc w:val="left"/>
      <w:pPr>
        <w:tabs>
          <w:tab w:val="num" w:pos="4461"/>
        </w:tabs>
        <w:ind w:left="4461" w:hanging="360"/>
      </w:pPr>
      <w:rPr>
        <w:rFonts w:ascii="Wingdings" w:hAnsi="Wingdings" w:hint="default"/>
      </w:rPr>
    </w:lvl>
    <w:lvl w:ilvl="6" w:tplc="040C0001" w:tentative="1">
      <w:start w:val="1"/>
      <w:numFmt w:val="bullet"/>
      <w:lvlText w:val=""/>
      <w:lvlJc w:val="left"/>
      <w:pPr>
        <w:tabs>
          <w:tab w:val="num" w:pos="5181"/>
        </w:tabs>
        <w:ind w:left="5181" w:hanging="360"/>
      </w:pPr>
      <w:rPr>
        <w:rFonts w:ascii="Symbol" w:hAnsi="Symbol" w:hint="default"/>
      </w:rPr>
    </w:lvl>
    <w:lvl w:ilvl="7" w:tplc="040C0003" w:tentative="1">
      <w:start w:val="1"/>
      <w:numFmt w:val="bullet"/>
      <w:lvlText w:val="o"/>
      <w:lvlJc w:val="left"/>
      <w:pPr>
        <w:tabs>
          <w:tab w:val="num" w:pos="5901"/>
        </w:tabs>
        <w:ind w:left="5901" w:hanging="360"/>
      </w:pPr>
      <w:rPr>
        <w:rFonts w:ascii="Courier New" w:hAnsi="Courier New" w:cs="Courier New" w:hint="default"/>
      </w:rPr>
    </w:lvl>
    <w:lvl w:ilvl="8" w:tplc="040C0005" w:tentative="1">
      <w:start w:val="1"/>
      <w:numFmt w:val="bullet"/>
      <w:lvlText w:val=""/>
      <w:lvlJc w:val="left"/>
      <w:pPr>
        <w:tabs>
          <w:tab w:val="num" w:pos="6621"/>
        </w:tabs>
        <w:ind w:left="6621" w:hanging="360"/>
      </w:pPr>
      <w:rPr>
        <w:rFonts w:ascii="Wingdings" w:hAnsi="Wingdings" w:hint="default"/>
      </w:rPr>
    </w:lvl>
  </w:abstractNum>
  <w:abstractNum w:abstractNumId="13">
    <w:nsid w:val="4E5E2AC2"/>
    <w:multiLevelType w:val="hybridMultilevel"/>
    <w:tmpl w:val="FDB6E6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3982EF4"/>
    <w:multiLevelType w:val="hybridMultilevel"/>
    <w:tmpl w:val="7F764D8C"/>
    <w:lvl w:ilvl="0" w:tplc="6C3A5144">
      <w:start w:val="1"/>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67E0529C"/>
    <w:multiLevelType w:val="hybridMultilevel"/>
    <w:tmpl w:val="057247BC"/>
    <w:lvl w:ilvl="0" w:tplc="6C3A5144">
      <w:start w:val="1"/>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698F7068"/>
    <w:multiLevelType w:val="hybridMultilevel"/>
    <w:tmpl w:val="491C4EBE"/>
    <w:lvl w:ilvl="0" w:tplc="040C0001">
      <w:start w:val="1"/>
      <w:numFmt w:val="bullet"/>
      <w:lvlText w:val=""/>
      <w:lvlJc w:val="left"/>
      <w:pPr>
        <w:tabs>
          <w:tab w:val="num" w:pos="927"/>
        </w:tabs>
        <w:ind w:left="927"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72BD0BB3"/>
    <w:multiLevelType w:val="hybridMultilevel"/>
    <w:tmpl w:val="248098BE"/>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nsid w:val="77845ABF"/>
    <w:multiLevelType w:val="hybridMultilevel"/>
    <w:tmpl w:val="237498C0"/>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5"/>
  </w:num>
  <w:num w:numId="4">
    <w:abstractNumId w:val="7"/>
  </w:num>
  <w:num w:numId="5">
    <w:abstractNumId w:val="18"/>
  </w:num>
  <w:num w:numId="6">
    <w:abstractNumId w:val="12"/>
  </w:num>
  <w:num w:numId="7">
    <w:abstractNumId w:val="17"/>
  </w:num>
  <w:num w:numId="8">
    <w:abstractNumId w:val="14"/>
  </w:num>
  <w:num w:numId="9">
    <w:abstractNumId w:val="11"/>
  </w:num>
  <w:num w:numId="10">
    <w:abstractNumId w:val="3"/>
  </w:num>
  <w:num w:numId="11">
    <w:abstractNumId w:val="4"/>
  </w:num>
  <w:num w:numId="12">
    <w:abstractNumId w:val="1"/>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6"/>
  </w:num>
  <w:num w:numId="16">
    <w:abstractNumId w:val="6"/>
  </w:num>
  <w:num w:numId="17">
    <w:abstractNumId w:val="13"/>
  </w:num>
  <w:num w:numId="18">
    <w:abstractNumId w:val="8"/>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sz w:val="24"/>
      <w:szCs w:val="24"/>
      <w:lang w:val="fr-FR" w:eastAsia="fr-FR"/>
    </w:rPr>
  </w:style>
  <w:style w:type="paragraph" w:styleId="berschrift2">
    <w:name w:val="heading 2"/>
    <w:aliases w:val="UNDERRUBRIK 1-2,h2,Head 2,l2,List level 2,Sub-Heading,A,1st level heading,level 2 no toc,2nd level,Titre2,h:2,h:2app,H2,2,level 2,Head2A,PA Major Section,Major Section,Head2,Header 2,Level 2 Head,Heading 2 Hidden,Titre3,Prophead 2,Header2"/>
    <w:basedOn w:val="Standard"/>
    <w:next w:val="Standard"/>
    <w:link w:val="berschrift2Zchn"/>
    <w:uiPriority w:val="99"/>
    <w:semiHidden/>
    <w:unhideWhenUsed/>
    <w:qFormat/>
    <w:pPr>
      <w:keepNext/>
      <w:overflowPunct w:val="0"/>
      <w:autoSpaceDE w:val="0"/>
      <w:autoSpaceDN w:val="0"/>
      <w:adjustRightInd w:val="0"/>
      <w:ind w:left="426" w:right="282"/>
      <w:outlineLvl w:val="1"/>
    </w:pPr>
    <w:rPr>
      <w:rFonts w:ascii="Arial" w:hAnsi="Arial"/>
      <w:sz w:val="22"/>
      <w:szCs w:val="20"/>
      <w:lang w:val="en-GB"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link w:val="berschrift2"/>
    <w:uiPriority w:val="99"/>
    <w:semiHidden/>
    <w:rPr>
      <w:rFonts w:ascii="Arial" w:hAnsi="Arial"/>
      <w:sz w:val="22"/>
      <w:lang w:val="en-GB" w:eastAsia="de-DE"/>
    </w:rPr>
  </w:style>
  <w:style w:type="paragraph" w:styleId="Funotentext">
    <w:name w:val="footnote text"/>
    <w:basedOn w:val="Standard"/>
    <w:link w:val="FunotentextZchn"/>
    <w:rPr>
      <w:sz w:val="20"/>
      <w:szCs w:val="20"/>
    </w:rPr>
  </w:style>
  <w:style w:type="character" w:customStyle="1" w:styleId="FunotentextZchn">
    <w:name w:val="Fußnotentext Zchn"/>
    <w:basedOn w:val="Absatz-Standardschriftart"/>
    <w:link w:val="Funotentext"/>
  </w:style>
  <w:style w:type="character" w:styleId="Funotenzeichen">
    <w:name w:val="footnote referenc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7945308">
      <w:bodyDiv w:val="1"/>
      <w:marLeft w:val="0"/>
      <w:marRight w:val="0"/>
      <w:marTop w:val="0"/>
      <w:marBottom w:val="0"/>
      <w:divBdr>
        <w:top w:val="none" w:sz="0" w:space="0" w:color="auto"/>
        <w:left w:val="none" w:sz="0" w:space="0" w:color="auto"/>
        <w:bottom w:val="none" w:sz="0" w:space="0" w:color="auto"/>
        <w:right w:val="none" w:sz="0" w:space="0" w:color="auto"/>
      </w:divBdr>
    </w:div>
    <w:div w:id="204729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4FB7A-2BB3-4EE6-8BDE-EB832A7AA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102</Words>
  <Characters>645</Characters>
  <Application>Microsoft Office Word</Application>
  <DocSecurity>0</DocSecurity>
  <Lines>5</Lines>
  <Paragraphs>1</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roadmap MCA</vt:lpstr>
      <vt:lpstr>roadmap MCA</vt:lpstr>
      <vt:lpstr>roadmap MCA</vt:lpstr>
    </vt:vector>
  </TitlesOfParts>
  <Company>ECC PT1</Company>
  <LinksUpToDate>false</LinksUpToDate>
  <CharactersWithSpaces>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roadmap MCA</dc:title>
  <dc:creator>ECC PT1</dc:creator>
  <cp:lastModifiedBy>Michael Krämer</cp:lastModifiedBy>
  <cp:revision>3</cp:revision>
  <cp:lastPrinted>2011-10-14T15:09:00Z</cp:lastPrinted>
  <dcterms:created xsi:type="dcterms:W3CDTF">2013-01-17T12:12:00Z</dcterms:created>
  <dcterms:modified xsi:type="dcterms:W3CDTF">2013-01-17T12:29:00Z</dcterms:modified>
</cp:coreProperties>
</file>